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68DD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  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CDB4517" wp14:editId="32F67386">
            <wp:simplePos x="0" y="0"/>
            <wp:positionH relativeFrom="column">
              <wp:posOffset>1905</wp:posOffset>
            </wp:positionH>
            <wp:positionV relativeFrom="paragraph">
              <wp:posOffset>146685</wp:posOffset>
            </wp:positionV>
            <wp:extent cx="656590" cy="917575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3BAB25F" wp14:editId="1C59C66C">
            <wp:simplePos x="0" y="0"/>
            <wp:positionH relativeFrom="column">
              <wp:posOffset>2933700</wp:posOffset>
            </wp:positionH>
            <wp:positionV relativeFrom="paragraph">
              <wp:posOffset>-271144</wp:posOffset>
            </wp:positionV>
            <wp:extent cx="399415" cy="43561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ECC3CC" w14:textId="0F464CA4" w:rsidR="009E385B" w:rsidRDefault="00B825C0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 Narrow" w:eastAsia="Arial Narrow" w:hAnsi="Arial Narrow" w:cs="Arial Narrow"/>
          <w:color w:val="C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3B1DE3E4" wp14:editId="04BC86B0">
            <wp:simplePos x="0" y="0"/>
            <wp:positionH relativeFrom="column">
              <wp:posOffset>5523230</wp:posOffset>
            </wp:positionH>
            <wp:positionV relativeFrom="paragraph">
              <wp:posOffset>11430</wp:posOffset>
            </wp:positionV>
            <wp:extent cx="703580" cy="87757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87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2036F6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 Narrow" w:eastAsia="Arial Narrow" w:hAnsi="Arial Narrow" w:cs="Arial Narrow"/>
          <w:color w:val="C00000"/>
          <w:sz w:val="10"/>
          <w:szCs w:val="10"/>
        </w:rPr>
      </w:pPr>
    </w:p>
    <w:p w14:paraId="2EE94AA5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ORDINAMENTO LICEALE:</w:t>
      </w:r>
      <w:r>
        <w:rPr>
          <w:rFonts w:ascii="Arial Narrow" w:eastAsia="Arial Narrow" w:hAnsi="Arial Narrow" w:cs="Arial Narrow"/>
          <w:color w:val="0070C0"/>
        </w:rPr>
        <w:t xml:space="preserve"> </w:t>
      </w:r>
      <w:r>
        <w:rPr>
          <w:rFonts w:ascii="Arial Narrow" w:eastAsia="Arial Narrow" w:hAnsi="Arial Narrow" w:cs="Arial Narrow"/>
          <w:b/>
          <w:color w:val="0070C0"/>
        </w:rPr>
        <w:t>CLASSICO MUSICALE</w:t>
      </w:r>
      <w:r>
        <w:rPr>
          <w:rFonts w:ascii="Arial Narrow" w:eastAsia="Arial Narrow" w:hAnsi="Arial Narrow" w:cs="Arial Narrow"/>
          <w:color w:val="000000"/>
        </w:rPr>
        <w:t xml:space="preserve"> e </w:t>
      </w:r>
      <w:r>
        <w:rPr>
          <w:rFonts w:ascii="Arial Narrow" w:eastAsia="Arial Narrow" w:hAnsi="Arial Narrow" w:cs="Arial Narrow"/>
          <w:b/>
          <w:color w:val="0070C0"/>
        </w:rPr>
        <w:t>SCIENTIFICO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46E15629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FF0000"/>
        </w:rPr>
        <w:t xml:space="preserve">ORDINAMENTO </w:t>
      </w:r>
      <w:proofErr w:type="gramStart"/>
      <w:r>
        <w:rPr>
          <w:rFonts w:ascii="Arial Narrow" w:eastAsia="Arial Narrow" w:hAnsi="Arial Narrow" w:cs="Arial Narrow"/>
          <w:b/>
          <w:color w:val="FF0000"/>
        </w:rPr>
        <w:t>PROFESSIONALE:</w:t>
      </w:r>
      <w:r>
        <w:rPr>
          <w:rFonts w:ascii="Arial Narrow" w:eastAsia="Arial Narrow" w:hAnsi="Arial Narrow" w:cs="Arial Narrow"/>
          <w:color w:val="FF0000"/>
        </w:rPr>
        <w:t xml:space="preserve">  </w:t>
      </w:r>
      <w:r>
        <w:rPr>
          <w:rFonts w:ascii="Arial Narrow" w:eastAsia="Arial Narrow" w:hAnsi="Arial Narrow" w:cs="Arial Narrow"/>
          <w:b/>
          <w:color w:val="0070C0"/>
        </w:rPr>
        <w:t>I.P.S.A.S.R.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 </w:t>
      </w:r>
      <w:proofErr w:type="gramStart"/>
      <w:r>
        <w:rPr>
          <w:rFonts w:ascii="Arial Narrow" w:eastAsia="Arial Narrow" w:hAnsi="Arial Narrow" w:cs="Arial Narrow"/>
          <w:color w:val="000000"/>
        </w:rPr>
        <w:t xml:space="preserve">e  </w:t>
      </w:r>
      <w:r>
        <w:rPr>
          <w:rFonts w:ascii="Arial Narrow" w:eastAsia="Arial Narrow" w:hAnsi="Arial Narrow" w:cs="Arial Narrow"/>
          <w:b/>
          <w:color w:val="0070C0"/>
        </w:rPr>
        <w:t>I.P.S.E.O.A.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/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SAPRI</w:t>
      </w:r>
    </w:p>
    <w:p w14:paraId="4DB341E7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                  Via Gaetani, </w:t>
      </w:r>
      <w:proofErr w:type="gramStart"/>
      <w:r>
        <w:rPr>
          <w:rFonts w:ascii="Arial Narrow" w:eastAsia="Arial Narrow" w:hAnsi="Arial Narrow" w:cs="Arial Narrow"/>
          <w:color w:val="000000"/>
          <w:sz w:val="16"/>
          <w:szCs w:val="16"/>
        </w:rPr>
        <w:t>snc  –</w:t>
      </w:r>
      <w:proofErr w:type="gramEnd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84073 SAPRI (SA) - C.M.:SAIS011002 — C.F.:84001780653 -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Tel. 0973-391325 — Fax: 0973/604477</w:t>
      </w:r>
    </w:p>
    <w:p w14:paraId="70F4210B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-</w:t>
      </w:r>
      <w:proofErr w:type="gramStart"/>
      <w:r>
        <w:rPr>
          <w:rFonts w:ascii="Arial Narrow" w:eastAsia="Arial Narrow" w:hAnsi="Arial Narrow" w:cs="Arial Narrow"/>
          <w:color w:val="000000"/>
          <w:sz w:val="16"/>
          <w:szCs w:val="16"/>
        </w:rPr>
        <w:t>web :</w:t>
      </w:r>
      <w:proofErr w:type="gramEnd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hyperlink r:id="rId9"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www.iispisacanesapri.edu.it</w:t>
        </w:r>
      </w:hyperlink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— e-mail: sais011002@istruzion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e.</w:t>
      </w:r>
    </w:p>
    <w:p w14:paraId="60A492F0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24A5E96A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F85463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14:paraId="50CA1B60" w14:textId="77777777" w:rsidR="009E385B" w:rsidRDefault="00B825C0">
      <w:pPr>
        <w:pBdr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PAI</w:t>
      </w:r>
    </w:p>
    <w:p w14:paraId="748921AA" w14:textId="77777777" w:rsidR="009E385B" w:rsidRDefault="00B825C0">
      <w:pPr>
        <w:pBdr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PIANO DI APPRENDIMENTO INDIVIDUALIZZATO </w:t>
      </w:r>
    </w:p>
    <w:p w14:paraId="4BDD7742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6 comma 1 dell’O.M. prot. n.11 del 16/05/2020</w:t>
      </w:r>
    </w:p>
    <w:p w14:paraId="0A350C9A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SCUOLA SECONDARIA</w:t>
      </w:r>
    </w:p>
    <w:p w14:paraId="30311975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6AA691B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A.S. 2020-2021</w:t>
      </w:r>
    </w:p>
    <w:p w14:paraId="328F1537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62DA1BE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FA2C9CC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CLASSE                                     ALUNNO________________________________________</w:t>
      </w:r>
    </w:p>
    <w:p w14:paraId="73244D6E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2BB6940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AC1927D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DISCIPLINA: ____________________________________</w:t>
      </w:r>
    </w:p>
    <w:p w14:paraId="6F1DC83B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4978554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DOCENTE: ______________________________________</w:t>
      </w:r>
    </w:p>
    <w:p w14:paraId="23E2D823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08A6A6A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9214B15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Micro-competenze di periodo disciplinari:</w:t>
      </w:r>
    </w:p>
    <w:p w14:paraId="3D4A5805" w14:textId="77777777" w:rsidR="009E385B" w:rsidRDefault="00B825C0">
      <w:pPr>
        <w:pBdr>
          <w:between w:val="nil"/>
        </w:pBd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681F872A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C913DD0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Micro-abilità di sistema da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raggiungere</w:t>
      </w:r>
      <w:r>
        <w:rPr>
          <w:b/>
          <w:color w:val="000000"/>
          <w:sz w:val="24"/>
          <w:szCs w:val="24"/>
        </w:rPr>
        <w:t xml:space="preserve"> :</w:t>
      </w:r>
      <w:proofErr w:type="gramEnd"/>
    </w:p>
    <w:p w14:paraId="0AFD0917" w14:textId="77777777" w:rsidR="009E385B" w:rsidRDefault="00B825C0">
      <w:pPr>
        <w:pBdr>
          <w:between w:val="nil"/>
        </w:pBd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2852777F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TEMPI</w:t>
      </w:r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2020-2021</w:t>
      </w:r>
    </w:p>
    <w:p w14:paraId="7EBF0931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Primo quadrimestre con verifica e valutazione (Eventuale riprogrammazione nel secondo quadrimestre)</w:t>
      </w:r>
    </w:p>
    <w:p w14:paraId="01D096A3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______________________ al _________________________________</w:t>
      </w:r>
    </w:p>
    <w:p w14:paraId="3A2FAC2E" w14:textId="77777777" w:rsidR="009E385B" w:rsidRDefault="009E38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/>
        <w:jc w:val="both"/>
        <w:rPr>
          <w:color w:val="000000"/>
          <w:sz w:val="24"/>
          <w:szCs w:val="24"/>
        </w:rPr>
      </w:pPr>
    </w:p>
    <w:p w14:paraId="51ED26B2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Metodi che saranno utilizzati nel corso dell’intervento didattico-educativo</w:t>
      </w:r>
    </w:p>
    <w:p w14:paraId="11F25E2C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_______________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__________________________________________________________________________________________________________________________________________________________________________________________________________€</w:t>
      </w:r>
    </w:p>
    <w:p w14:paraId="1A1379DB" w14:textId="77777777" w:rsidR="009E385B" w:rsidRDefault="009E385B">
      <w:pPr>
        <w:pBdr>
          <w:between w:val="nil"/>
        </w:pBdr>
        <w:shd w:val="clear" w:color="auto" w:fill="FFFFFF"/>
        <w:spacing w:after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8367F0D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che saranno utilizzati nel corso dell’in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tervento didattico-educativo:</w:t>
      </w:r>
    </w:p>
    <w:p w14:paraId="5DB51446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</w:t>
      </w:r>
    </w:p>
    <w:p w14:paraId="06D7B9B2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CFB833C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RECUPERO E POTENZIAMENTO</w:t>
      </w:r>
    </w:p>
    <w:p w14:paraId="77E656A8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facilitare l’apprendimento di tutti gli alunni che presenteranno delle difficoltà e valorizzare le </w:t>
      </w:r>
      <w:proofErr w:type="gramStart"/>
      <w:r>
        <w:rPr>
          <w:color w:val="000000"/>
          <w:sz w:val="24"/>
          <w:szCs w:val="24"/>
        </w:rPr>
        <w:t>eccellenze,  sono</w:t>
      </w:r>
      <w:proofErr w:type="gramEnd"/>
      <w:r>
        <w:rPr>
          <w:color w:val="000000"/>
          <w:sz w:val="24"/>
          <w:szCs w:val="24"/>
        </w:rPr>
        <w:t>  previste le seguenti strategie:</w:t>
      </w:r>
    </w:p>
    <w:p w14:paraId="5A975E45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________________________________________________________________________________________________________</w:t>
      </w:r>
    </w:p>
    <w:p w14:paraId="7C0864FD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Strategie per il raggiungimento delle micro-competenze di periodo disciplinari micro-abilità di sistema da raggiungere</w:t>
      </w:r>
    </w:p>
    <w:p w14:paraId="69173BA3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 </w:t>
      </w:r>
    </w:p>
    <w:p w14:paraId="3B57D4A0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Contenuti da sviluppare</w:t>
      </w:r>
    </w:p>
    <w:p w14:paraId="3384D3FE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</w:t>
      </w:r>
    </w:p>
    <w:p w14:paraId="09C59743" w14:textId="77777777" w:rsidR="009E385B" w:rsidRDefault="009E385B">
      <w:pPr>
        <w:pBdr>
          <w:between w:val="nil"/>
        </w:pBdr>
        <w:shd w:val="clear" w:color="auto" w:fill="FFFFFF"/>
        <w:spacing w:after="120" w:line="276" w:lineRule="auto"/>
        <w:rPr>
          <w:b/>
          <w:color w:val="000000"/>
          <w:sz w:val="24"/>
          <w:szCs w:val="24"/>
        </w:rPr>
      </w:pPr>
    </w:p>
    <w:p w14:paraId="7C488C99" w14:textId="77777777" w:rsidR="009E385B" w:rsidRDefault="009E385B">
      <w:pPr>
        <w:pBdr>
          <w:between w:val="nil"/>
        </w:pBdr>
        <w:shd w:val="clear" w:color="auto" w:fill="FFFFFF"/>
        <w:spacing w:after="120" w:line="276" w:lineRule="auto"/>
        <w:rPr>
          <w:b/>
          <w:color w:val="000000"/>
          <w:sz w:val="24"/>
          <w:szCs w:val="24"/>
        </w:rPr>
      </w:pPr>
    </w:p>
    <w:p w14:paraId="0646D0AE" w14:textId="77777777" w:rsidR="009E385B" w:rsidRDefault="009E385B">
      <w:pPr>
        <w:pBdr>
          <w:between w:val="nil"/>
        </w:pBdr>
        <w:shd w:val="clear" w:color="auto" w:fill="FFFFFF"/>
        <w:spacing w:after="120" w:line="276" w:lineRule="auto"/>
        <w:rPr>
          <w:b/>
          <w:color w:val="000000"/>
          <w:sz w:val="24"/>
          <w:szCs w:val="24"/>
        </w:rPr>
      </w:pPr>
    </w:p>
    <w:p w14:paraId="65C069DE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VALUTAZIONE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:</w:t>
      </w:r>
    </w:p>
    <w:p w14:paraId="21AA4E81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 xml:space="preserve">Valutazione continua </w:t>
      </w:r>
    </w:p>
    <w:p w14:paraId="1D927113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>Valutazione sommativa</w:t>
      </w:r>
    </w:p>
    <w:p w14:paraId="1608A0F3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>Valutazione autentica</w:t>
      </w:r>
    </w:p>
    <w:p w14:paraId="641342D9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 xml:space="preserve">Valutazione didattica di processi </w:t>
      </w:r>
    </w:p>
    <w:p w14:paraId="51F85DFD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>Valutazione formativa</w:t>
      </w:r>
    </w:p>
    <w:p w14:paraId="403AA6F9" w14:textId="77777777" w:rsidR="009E385B" w:rsidRDefault="00B825C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5248629" w14:textId="77777777" w:rsidR="009E385B" w:rsidRDefault="009E385B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</w:p>
    <w:p w14:paraId="053B955C" w14:textId="77777777" w:rsidR="009E385B" w:rsidRDefault="009E385B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</w:p>
    <w:p w14:paraId="59DDA251" w14:textId="77777777" w:rsidR="009E385B" w:rsidRDefault="00B825C0">
      <w:pPr>
        <w:pBdr>
          <w:between w:val="nil"/>
        </w:pBdr>
        <w:shd w:val="clear" w:color="auto" w:fill="FFFFFF"/>
        <w:spacing w:after="120" w:line="276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Strumenti di verifica utilizzati:</w:t>
      </w:r>
    </w:p>
    <w:p w14:paraId="26A8EA99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 xml:space="preserve">Verifiche scritte   </w:t>
      </w:r>
    </w:p>
    <w:p w14:paraId="393CBC02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>Verifiche orali</w:t>
      </w:r>
    </w:p>
    <w:p w14:paraId="6A057D0E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>Prove strutturate</w:t>
      </w:r>
    </w:p>
    <w:p w14:paraId="6F9B643D" w14:textId="77777777" w:rsidR="009E385B" w:rsidRDefault="00B825C0">
      <w:pPr>
        <w:pBdr>
          <w:between w:val="nil"/>
        </w:pBdr>
        <w:shd w:val="clear" w:color="auto" w:fill="FFFFFF"/>
        <w:spacing w:after="12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        </w:t>
      </w:r>
      <w:r>
        <w:rPr>
          <w:color w:val="000000"/>
          <w:sz w:val="24"/>
          <w:szCs w:val="24"/>
        </w:rPr>
        <w:t xml:space="preserve">Interrogazione dialogica (in modalità sincrona in caso di </w:t>
      </w:r>
      <w:proofErr w:type="spellStart"/>
      <w:r>
        <w:rPr>
          <w:color w:val="000000"/>
          <w:sz w:val="24"/>
          <w:szCs w:val="24"/>
        </w:rPr>
        <w:t>DaD</w:t>
      </w:r>
      <w:proofErr w:type="spellEnd"/>
      <w:r>
        <w:rPr>
          <w:color w:val="000000"/>
          <w:sz w:val="24"/>
          <w:szCs w:val="24"/>
        </w:rPr>
        <w:t>)</w:t>
      </w:r>
    </w:p>
    <w:p w14:paraId="3761766A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1089CE5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Detto </w:t>
      </w:r>
      <w:r>
        <w:rPr>
          <w:b/>
          <w:color w:val="000000"/>
          <w:sz w:val="24"/>
          <w:szCs w:val="24"/>
        </w:rPr>
        <w:t>Piano di Apprendimento Individualizzato</w:t>
      </w:r>
      <w:r>
        <w:rPr>
          <w:color w:val="000000"/>
          <w:sz w:val="24"/>
          <w:szCs w:val="24"/>
        </w:rPr>
        <w:t xml:space="preserve"> deve essere allegato al Documento di Valutazione. </w:t>
      </w:r>
    </w:p>
    <w:p w14:paraId="3277D59C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A4A8209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76B6E3B" w14:textId="2E0AF94A" w:rsidR="009E385B" w:rsidRDefault="00B82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____________, </w:t>
      </w:r>
      <w:proofErr w:type="gramStart"/>
      <w:r>
        <w:rPr>
          <w:color w:val="000000"/>
          <w:sz w:val="24"/>
          <w:szCs w:val="24"/>
        </w:rPr>
        <w:t>lì  _</w:t>
      </w:r>
      <w:proofErr w:type="gramEnd"/>
      <w:r>
        <w:rPr>
          <w:color w:val="000000"/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</w:rPr>
        <w:t xml:space="preserve">   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Docente</w:t>
      </w:r>
    </w:p>
    <w:p w14:paraId="4F70BAE7" w14:textId="77777777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7BC5E15" w14:textId="77777777" w:rsidR="00B825C0" w:rsidRDefault="00B825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32BF1838" w14:textId="760A6472" w:rsidR="009E385B" w:rsidRDefault="00B825C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___________________________________</w:t>
      </w:r>
    </w:p>
    <w:p w14:paraId="6810F030" w14:textId="77777777" w:rsidR="009E385B" w:rsidRDefault="009E385B">
      <w:pPr>
        <w:pBdr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9E385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247" w:bottom="964" w:left="1134" w:header="113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34300" w14:textId="77777777" w:rsidR="00000000" w:rsidRDefault="00B825C0">
      <w:r>
        <w:separator/>
      </w:r>
    </w:p>
  </w:endnote>
  <w:endnote w:type="continuationSeparator" w:id="0">
    <w:p w14:paraId="25AFF943" w14:textId="77777777" w:rsidR="00000000" w:rsidRDefault="00B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3BBD" w14:textId="77777777" w:rsidR="009E385B" w:rsidRDefault="009E38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80790" w14:textId="77777777" w:rsidR="009E385B" w:rsidRDefault="009E38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0E4D" w14:textId="77777777" w:rsidR="009E385B" w:rsidRDefault="009E38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C4BC0" w14:textId="77777777" w:rsidR="00000000" w:rsidRDefault="00B825C0">
      <w:r>
        <w:separator/>
      </w:r>
    </w:p>
  </w:footnote>
  <w:footnote w:type="continuationSeparator" w:id="0">
    <w:p w14:paraId="369E7190" w14:textId="77777777" w:rsidR="00000000" w:rsidRDefault="00B8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689D" w14:textId="77777777" w:rsidR="009E385B" w:rsidRDefault="009E38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8496B0"/>
        <w:sz w:val="24"/>
        <w:szCs w:val="24"/>
      </w:rPr>
    </w:pPr>
  </w:p>
  <w:p w14:paraId="3D640CB4" w14:textId="77777777" w:rsidR="009E385B" w:rsidRDefault="00B825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883"/>
      </w:tabs>
      <w:rPr>
        <w:color w:val="8496B0"/>
        <w:sz w:val="24"/>
        <w:szCs w:val="24"/>
      </w:rPr>
    </w:pPr>
    <w:r>
      <w:rPr>
        <w:b/>
        <w:color w:val="8496B0"/>
      </w:rPr>
      <w:tab/>
    </w:r>
  </w:p>
  <w:p w14:paraId="42481BAC" w14:textId="77777777" w:rsidR="009E385B" w:rsidRDefault="009E38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8496B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ACB1" w14:textId="77777777" w:rsidR="009E385B" w:rsidRDefault="009E385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5B"/>
    <w:rsid w:val="009E385B"/>
    <w:rsid w:val="00B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69E5"/>
  <w15:docId w15:val="{70DF8087-1243-462E-BEAD-3B941751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ispisacanesapri.edu.it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Giusy Di Giorgio</cp:lastModifiedBy>
  <cp:revision>2</cp:revision>
  <dcterms:created xsi:type="dcterms:W3CDTF">2020-06-07T08:23:00Z</dcterms:created>
  <dcterms:modified xsi:type="dcterms:W3CDTF">2020-06-07T08:23:00Z</dcterms:modified>
</cp:coreProperties>
</file>